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787.xml.htm"/>
      <w:bookmarkStart w:id="1" w:name="kswkform4_17884667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05"/>
        <w:gridCol w:w="920"/>
        <w:gridCol w:w="792"/>
        <w:gridCol w:w="610"/>
        <w:gridCol w:w="328"/>
        <w:gridCol w:w="1148"/>
        <w:gridCol w:w="386"/>
        <w:gridCol w:w="893"/>
        <w:gridCol w:w="1206"/>
        <w:gridCol w:w="924"/>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2,359,974</w:t>
            </w:r>
          </w:p>
        </w:tc>
        <w:tc>
          <w:tcPr>
            <w:tcW w:w="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3,556,054</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6.4686</w:t>
            </w:r>
            <w:r>
              <w:rPr>
                <w:rFonts w:ascii="Times;serif" w:hAnsi="Times;serif"/>
                <w:color w:val="008000"/>
                <w:position w:val="7"/>
                <w:sz w:val="16"/>
                <w:sz w:val="20"/>
                <w:shd w:fill="FFFFFF" w:val="clear"/>
              </w:rPr>
              <w:t>(4)</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3,456,054</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61"/>
        <w:gridCol w:w="1101"/>
        <w:gridCol w:w="801"/>
        <w:gridCol w:w="936"/>
        <w:gridCol w:w="831"/>
        <w:gridCol w:w="1251"/>
      </w:tblGrid>
      <w:tr>
        <w:trPr>
          <w:tblHeader w:val="true"/>
        </w:trPr>
        <w:tc>
          <w:tcPr>
            <w:tcW w:w="130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2,359,974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2,359,974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(6)</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Qumra Capital I L.P. and Qumra Capital I Continuation Fund L.P.</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Ordinary Shares into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Class B Ordinary Share is convertible at any time at the option of the holder into one Class A Ordinary Share and has no expiration date. In addition, each Class B Ordinary Share will convert automatically into one Class A Ordinary Share upon the sale or transfer of such Class B Ordinary Share, subject to certain exceptions, and in certain other circumstances described in the Issuer's Amended and Restated Articles of Association.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$6.15 to $6.68.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Class B Ordinary Shares held by Qumra Capital. The Reporting Person disclaims beneficial ownership of the Class B Ordinary Shares held by Qumra Capital,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1001</Words>
  <Characters>5276</Characters>
  <CharactersWithSpaces>6177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